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«ЛОКОМОТИВЫ РОСТА»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Fonts w:ascii="Georgia" w:hAnsi="Georgia"/>
          <w:color w:val="545454"/>
          <w:sz w:val="21"/>
          <w:szCs w:val="21"/>
        </w:rPr>
        <w:t> Локомотивы роста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Денис Кравченко, член Генерального совета Партии, депутат Государственной Думы Федерального Собрания Российской Федерации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«Локомотивы роста»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 </w:t>
      </w:r>
      <w:r>
        <w:rPr>
          <w:rFonts w:ascii="Georgia" w:hAnsi="Georgia"/>
          <w:color w:val="545454"/>
          <w:sz w:val="21"/>
          <w:szCs w:val="21"/>
        </w:rPr>
        <w:t>Локомотивы роста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Кравченко Денис Борисович, член Генерального совета Партии, депутат Государственной Думы Федерального Собрания Российской Федерации. 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 </w:t>
      </w:r>
      <w:r>
        <w:rPr>
          <w:rFonts w:ascii="Georgia" w:hAnsi="Georgia"/>
          <w:color w:val="545454"/>
          <w:sz w:val="21"/>
          <w:szCs w:val="21"/>
        </w:rPr>
        <w:t>Федеральный партийный проект «Локомотивы роста» направлен на создание условий для поступательного развития современной многоукладной экономики России во взаимодействии с ведущими индустриями и национальными российскими компаниями – локомотивами роста и развития.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Важнейшим направлением в реализации проекта является совершенствование законодательства, механизмов и практик развития промышленности, создания и развития инфраструктуры, создания современных производств и условий для ведения бизнеса, формирование инновационной среды.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Также приоритетом проекта является развитие человеческого капитала, содействие в создании здоровых и безопасных условий труда, формировании достойной заработной платы и пенсионного обеспечения, поддержка в соблюдении трудовых прав граждан и содействие в создании условий для профессионального роста, совершенствование системы социального страхования. Проект «Локомотивы роста» призван стать действенным политическим механизмом, который будет способствовать решению задач развития промышленности и укрепления отечественной экономики.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Fonts w:ascii="Georgia" w:hAnsi="Georgia"/>
          <w:color w:val="545454"/>
          <w:sz w:val="21"/>
          <w:szCs w:val="21"/>
        </w:rPr>
        <w:t> Создание условий для поступательного развития современной экономики России во взаимодействии с национальными компаниями – локомотивами роста.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  <w:r>
        <w:rPr>
          <w:rFonts w:ascii="Georgia" w:hAnsi="Georgia"/>
          <w:color w:val="545454"/>
          <w:sz w:val="21"/>
          <w:szCs w:val="21"/>
        </w:rPr>
        <w:br/>
        <w:t>·    Содействие повышению эффективности деятельности компаний с государственным участием, в том числе по реализации программ инновационного развития.</w:t>
      </w:r>
      <w:r>
        <w:rPr>
          <w:rFonts w:ascii="Georgia" w:hAnsi="Georgia"/>
          <w:color w:val="545454"/>
          <w:sz w:val="21"/>
          <w:szCs w:val="21"/>
        </w:rPr>
        <w:br/>
        <w:t>·    Участие в формировании условий для диверсификации производства, повышении доли высокотехнологичной продукции гражданского назначения по сравнению с оборонной продукцией.</w:t>
      </w:r>
      <w:r>
        <w:rPr>
          <w:rFonts w:ascii="Georgia" w:hAnsi="Georgia"/>
          <w:color w:val="545454"/>
          <w:sz w:val="21"/>
          <w:szCs w:val="21"/>
        </w:rPr>
        <w:br/>
        <w:t>·    Поддержка новых форм организации промышленности (развитие центров инжиниринга, промышленного дизайна и виртуального проектирования), эффективного взаимодействия государственного и частного секторов экономики, внедрение механизмов государственно-частного партнерства.</w:t>
      </w:r>
      <w:r>
        <w:rPr>
          <w:rFonts w:ascii="Georgia" w:hAnsi="Georgia"/>
          <w:color w:val="545454"/>
          <w:sz w:val="21"/>
          <w:szCs w:val="21"/>
        </w:rPr>
        <w:br/>
        <w:t>·    Содействие в создании условий для продвижения продукции и услуг российских предприятий на внешние рынки.</w:t>
      </w:r>
      <w:r>
        <w:rPr>
          <w:rFonts w:ascii="Georgia" w:hAnsi="Georgia"/>
          <w:color w:val="545454"/>
          <w:sz w:val="21"/>
          <w:szCs w:val="21"/>
        </w:rPr>
        <w:br/>
        <w:t>·    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</w:r>
      <w:r>
        <w:rPr>
          <w:rFonts w:ascii="Georgia" w:hAnsi="Georgia"/>
          <w:color w:val="545454"/>
          <w:sz w:val="21"/>
          <w:szCs w:val="21"/>
        </w:rPr>
        <w:br/>
        <w:t>·    Содействие в подготовке и реализации программ территориального планирования регионов РФ в интересах промышленного развития, содействие развитию экономики моногородов, поддержка развития систем распределенного производства и снижения расходов крупных предприятий.</w:t>
      </w:r>
      <w:r>
        <w:rPr>
          <w:rFonts w:ascii="Georgia" w:hAnsi="Georgia"/>
          <w:color w:val="545454"/>
          <w:sz w:val="21"/>
          <w:szCs w:val="21"/>
        </w:rPr>
        <w:br/>
        <w:t>·    Стимулирование работодателей к построению системы профессионального роста работников.</w:t>
      </w:r>
      <w:r>
        <w:rPr>
          <w:rFonts w:ascii="Georgia" w:hAnsi="Georgia"/>
          <w:color w:val="545454"/>
          <w:sz w:val="21"/>
          <w:szCs w:val="21"/>
        </w:rPr>
        <w:br/>
        <w:t>·    Содействие повышению уровня социального и пенсионного обеспечения работников промышленных предприятий и предприятий «реального сектора» экономики.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Fonts w:ascii="Georgia" w:hAnsi="Georgia"/>
          <w:color w:val="545454"/>
          <w:sz w:val="21"/>
          <w:szCs w:val="21"/>
        </w:rPr>
        <w:t>    2017 – 2021 гг.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lastRenderedPageBreak/>
        <w:t>Форматы работы: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·    Проведение федеральных и региональных мониторингов и анализа ситуации в регионах, выявление нарушений, формирование предложений по совершенствованию законодательства, ведение информационной базы деятельности отечественных предприятий.</w:t>
      </w:r>
      <w:r>
        <w:rPr>
          <w:rFonts w:ascii="Georgia" w:hAnsi="Georgia"/>
          <w:color w:val="545454"/>
          <w:sz w:val="21"/>
          <w:szCs w:val="21"/>
        </w:rPr>
        <w:br/>
        <w:t>·    Адресная работа с отраслевыми и некоммерческими объединениями, выражающими интересы предприятий, проведение сессий с участием заинтересованных сторон, руководством предприятий по разработке стратегических подходов к развитию отраслей российской экономики.</w:t>
      </w:r>
      <w:r>
        <w:rPr>
          <w:rFonts w:ascii="Georgia" w:hAnsi="Georgia"/>
          <w:color w:val="545454"/>
          <w:sz w:val="21"/>
          <w:szCs w:val="21"/>
        </w:rPr>
        <w:br/>
        <w:t>·    Проведение тематических мероприятий: видеоконференций, совещаний, круглых столов, дискуссионных площадок, рабочих групп, публичных конкурсных мероприятий, направленных на поддержку и продвижение лучших практик корпоративного управления, развития производства и вовлечения трудовых коллективов в развитие предприятий.</w:t>
      </w:r>
      <w:r>
        <w:rPr>
          <w:rFonts w:ascii="Georgia" w:hAnsi="Georgia"/>
          <w:color w:val="545454"/>
          <w:sz w:val="21"/>
          <w:szCs w:val="21"/>
        </w:rPr>
        <w:br/>
        <w:t>·    Популяризация и просветительская работа, направленная на распространение позитивной информации о деятельности лучших отечественных предприятий, решении задач экономического развития.</w:t>
      </w:r>
      <w:r>
        <w:rPr>
          <w:rFonts w:ascii="Georgia" w:hAnsi="Georgia"/>
          <w:color w:val="545454"/>
          <w:sz w:val="21"/>
          <w:szCs w:val="21"/>
        </w:rPr>
        <w:br/>
        <w:t xml:space="preserve">·    Реализация законотворческих и иных инициатив, по совершенствованию промышленной политики в Российской Федерации, совершенствование законодательства в сфере трудовых отношений, организация партийного и парламентского </w:t>
      </w:r>
      <w:proofErr w:type="gramStart"/>
      <w:r>
        <w:rPr>
          <w:rFonts w:ascii="Georgia" w:hAnsi="Georgia"/>
          <w:color w:val="545454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 их исполнением.</w:t>
      </w:r>
      <w:r>
        <w:rPr>
          <w:rFonts w:ascii="Georgia" w:hAnsi="Georgia"/>
          <w:color w:val="545454"/>
          <w:sz w:val="21"/>
          <w:szCs w:val="21"/>
        </w:rPr>
        <w:br/>
        <w:t>·    Накопление и распространение лучших практик в части реализации программ стимулирования промышленного развития.</w:t>
      </w:r>
    </w:p>
    <w:p w:rsidR="00404841" w:rsidRDefault="00404841" w:rsidP="00404841">
      <w:pPr>
        <w:pStyle w:val="a3"/>
        <w:shd w:val="clear" w:color="auto" w:fill="FFFFFF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Направления проекта: </w:t>
      </w:r>
      <w:r>
        <w:rPr>
          <w:rFonts w:ascii="Georgia" w:hAnsi="Georgia"/>
          <w:color w:val="545454"/>
          <w:sz w:val="21"/>
          <w:szCs w:val="21"/>
        </w:rPr>
        <w:t>Направление «Достойный труд» ориентировано на создание здоровых и безопасных условий труда, обеспечение достойной заработной платы, соблюдение трудовых прав граждан, обеспечение современного социального страхования.</w:t>
      </w:r>
    </w:p>
    <w:p w:rsidR="00E52B98" w:rsidRDefault="00E52B98">
      <w:bookmarkStart w:id="0" w:name="_GoBack"/>
      <w:bookmarkEnd w:id="0"/>
    </w:p>
    <w:sectPr w:rsidR="00E5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B"/>
    <w:rsid w:val="00404841"/>
    <w:rsid w:val="00CB30CB"/>
    <w:rsid w:val="00E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>Администрация г. Серпухова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Судакова</dc:creator>
  <cp:keywords/>
  <dc:description/>
  <cp:lastModifiedBy>Ирина Ю. Судакова</cp:lastModifiedBy>
  <cp:revision>2</cp:revision>
  <dcterms:created xsi:type="dcterms:W3CDTF">2020-09-09T07:24:00Z</dcterms:created>
  <dcterms:modified xsi:type="dcterms:W3CDTF">2020-09-09T07:25:00Z</dcterms:modified>
</cp:coreProperties>
</file>